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4FB0" w:rsidRPr="00684FB0" w:rsidRDefault="00684FB0" w:rsidP="00684FB0">
      <w:pPr>
        <w:ind w:right="57"/>
        <w:jc w:val="right"/>
        <w:rPr>
          <w:b/>
          <w:bCs/>
        </w:rPr>
      </w:pPr>
      <w:r w:rsidRPr="00684FB0">
        <w:rPr>
          <w:b/>
          <w:bCs/>
        </w:rPr>
        <w:t>Приложение №4</w:t>
      </w:r>
      <w:r w:rsidR="00823143">
        <w:rPr>
          <w:b/>
          <w:bCs/>
        </w:rPr>
        <w:t xml:space="preserve"> к Документации о закупке</w:t>
      </w:r>
    </w:p>
    <w:p w:rsidR="00684FB0" w:rsidRPr="00684FB0" w:rsidRDefault="00684FB0" w:rsidP="00684FB0">
      <w:pPr>
        <w:ind w:right="57"/>
        <w:jc w:val="center"/>
        <w:rPr>
          <w:b/>
          <w:bCs/>
        </w:rPr>
      </w:pPr>
    </w:p>
    <w:p w:rsidR="00684FB0" w:rsidRPr="00684FB0" w:rsidRDefault="00684FB0" w:rsidP="00684FB0">
      <w:pPr>
        <w:ind w:right="57"/>
        <w:jc w:val="center"/>
        <w:rPr>
          <w:b/>
        </w:rPr>
      </w:pPr>
      <w:r w:rsidRPr="00684FB0">
        <w:rPr>
          <w:b/>
          <w:bCs/>
        </w:rPr>
        <w:t>Порядок оценки и сопоставления заявок на участие в запросе предложений</w:t>
      </w:r>
    </w:p>
    <w:p w:rsidR="00684FB0" w:rsidRPr="00684FB0" w:rsidRDefault="00684FB0" w:rsidP="00684FB0">
      <w:pPr>
        <w:spacing w:line="336" w:lineRule="auto"/>
        <w:ind w:firstLine="709"/>
        <w:jc w:val="both"/>
        <w:outlineLvl w:val="0"/>
        <w:rPr>
          <w:bCs/>
        </w:rPr>
      </w:pPr>
      <w:bookmarkStart w:id="0" w:name="_Ref169632434"/>
      <w:bookmarkStart w:id="1" w:name="_Toc223437117"/>
    </w:p>
    <w:p w:rsidR="00684FB0" w:rsidRPr="00684FB0" w:rsidRDefault="00684FB0" w:rsidP="00684FB0">
      <w:pPr>
        <w:spacing w:line="336" w:lineRule="auto"/>
        <w:ind w:firstLine="709"/>
        <w:jc w:val="both"/>
        <w:outlineLvl w:val="0"/>
        <w:rPr>
          <w:bCs/>
        </w:rPr>
      </w:pPr>
    </w:p>
    <w:p w:rsidR="00684FB0" w:rsidRPr="00684FB0" w:rsidRDefault="00684FB0" w:rsidP="00684FB0">
      <w:pPr>
        <w:ind w:firstLine="709"/>
        <w:jc w:val="both"/>
        <w:outlineLvl w:val="0"/>
      </w:pPr>
      <w:r w:rsidRPr="00684FB0">
        <w:rPr>
          <w:bCs/>
        </w:rPr>
        <w:t>Оценка и сопоставление заявок на участие в запросе предложений</w:t>
      </w:r>
      <w:r w:rsidRPr="00684FB0">
        <w:rPr>
          <w:bCs/>
        </w:rPr>
        <w:br/>
        <w:t xml:space="preserve">осуществляется Закупочной комиссией в целях выявления лучших условий исполнения </w:t>
      </w:r>
      <w:r w:rsidRPr="00684FB0">
        <w:rPr>
          <w:bCs/>
        </w:rPr>
        <w:br/>
        <w:t>договора в соответствии с критериями, их содержанием и значимостью, установленными в Документации о запросе предложений.</w:t>
      </w:r>
    </w:p>
    <w:bookmarkEnd w:id="0"/>
    <w:bookmarkEnd w:id="1"/>
    <w:p w:rsidR="00684FB0" w:rsidRPr="00684FB0" w:rsidRDefault="00684FB0" w:rsidP="00684FB0">
      <w:pPr>
        <w:ind w:firstLine="709"/>
        <w:jc w:val="both"/>
        <w:outlineLvl w:val="0"/>
        <w:rPr>
          <w:b/>
        </w:rPr>
      </w:pPr>
      <w:r w:rsidRPr="00684FB0">
        <w:rPr>
          <w:b/>
          <w:bCs/>
        </w:rPr>
        <w:t xml:space="preserve">Критерии оценки заявок на участие в запросе предложений, их содержание </w:t>
      </w:r>
      <w:r w:rsidRPr="00684FB0">
        <w:rPr>
          <w:b/>
          <w:bCs/>
        </w:rPr>
        <w:br/>
        <w:t>и значимость.</w:t>
      </w:r>
    </w:p>
    <w:p w:rsidR="00684FB0" w:rsidRPr="00684FB0" w:rsidRDefault="00684FB0" w:rsidP="00684FB0">
      <w:pPr>
        <w:ind w:firstLine="720"/>
        <w:jc w:val="both"/>
        <w:outlineLvl w:val="2"/>
      </w:pPr>
      <w:r w:rsidRPr="00684FB0">
        <w:t xml:space="preserve">Заявки на участие в </w:t>
      </w:r>
      <w:r w:rsidR="00C55A76">
        <w:t xml:space="preserve">открытом </w:t>
      </w:r>
      <w:r w:rsidRPr="00684FB0">
        <w:t xml:space="preserve">запросе предложений участников </w:t>
      </w:r>
      <w:r w:rsidR="00C55A76">
        <w:t xml:space="preserve">открытого </w:t>
      </w:r>
      <w:r w:rsidRPr="00684FB0">
        <w:t>запроса предложений оцениваются исходя из критериев:</w:t>
      </w:r>
    </w:p>
    <w:p w:rsidR="00684FB0" w:rsidRPr="00684FB0" w:rsidRDefault="00684FB0" w:rsidP="00684FB0"/>
    <w:p w:rsidR="00684FB0" w:rsidRPr="00C55A76" w:rsidRDefault="00684FB0" w:rsidP="00684FB0">
      <w:pPr>
        <w:numPr>
          <w:ilvl w:val="0"/>
          <w:numId w:val="20"/>
        </w:numPr>
        <w:ind w:left="1005" w:firstLine="0"/>
        <w:jc w:val="both"/>
        <w:rPr>
          <w:b/>
          <w:smallCaps/>
          <w:sz w:val="28"/>
          <w:szCs w:val="28"/>
        </w:rPr>
      </w:pPr>
      <w:r w:rsidRPr="00C55A76">
        <w:rPr>
          <w:b/>
        </w:rPr>
        <w:t xml:space="preserve">Критерии </w:t>
      </w:r>
      <w:r w:rsidR="00C55A76" w:rsidRPr="00C55A76">
        <w:rPr>
          <w:b/>
        </w:rPr>
        <w:t xml:space="preserve">оценки заявок </w:t>
      </w:r>
      <w:r w:rsidRPr="00C55A76">
        <w:rPr>
          <w:b/>
        </w:rPr>
        <w:t xml:space="preserve">на участие в </w:t>
      </w:r>
      <w:r w:rsidR="00C55A76" w:rsidRPr="00C55A76">
        <w:rPr>
          <w:b/>
        </w:rPr>
        <w:t xml:space="preserve">запросе предложений </w:t>
      </w:r>
      <w:r w:rsidRPr="00C55A76">
        <w:rPr>
          <w:b/>
        </w:rPr>
        <w:t>и их значимость</w:t>
      </w:r>
      <w:r w:rsidR="00C55A76" w:rsidRPr="00C55A76">
        <w:rPr>
          <w:b/>
        </w:rPr>
        <w:t>:</w:t>
      </w:r>
      <w:r w:rsidRPr="00C55A76">
        <w:rPr>
          <w:b/>
          <w:bCs/>
          <w:sz w:val="28"/>
          <w:szCs w:val="28"/>
        </w:rPr>
        <w:t xml:space="preserve"> </w:t>
      </w:r>
    </w:p>
    <w:p w:rsidR="00684FB0" w:rsidRPr="00684FB0" w:rsidRDefault="00684FB0" w:rsidP="00684FB0">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684FB0" w:rsidRPr="00684FB0" w:rsidTr="000934BA">
        <w:trPr>
          <w:tblHeader/>
        </w:trPr>
        <w:tc>
          <w:tcPr>
            <w:tcW w:w="1200"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 xml:space="preserve">Номер </w:t>
            </w:r>
            <w:r w:rsidRPr="00684FB0">
              <w:rPr>
                <w:b/>
                <w:bCs/>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center"/>
              <w:rPr>
                <w:b/>
                <w:bCs/>
              </w:rPr>
            </w:pPr>
            <w:r w:rsidRPr="00684FB0">
              <w:rPr>
                <w:b/>
                <w:bCs/>
              </w:rPr>
              <w:t xml:space="preserve">Критерии оценки </w:t>
            </w:r>
            <w:r w:rsidRPr="00684FB0">
              <w:rPr>
                <w:b/>
                <w:bCs/>
              </w:rPr>
              <w:br/>
              <w:t xml:space="preserve">заявок на участие в </w:t>
            </w:r>
            <w:r w:rsidRPr="00684FB0">
              <w:rPr>
                <w:b/>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bCs/>
              </w:rPr>
            </w:pPr>
            <w:r w:rsidRPr="00684FB0">
              <w:rPr>
                <w:b/>
                <w:bCs/>
              </w:rPr>
              <w:t>Значимость критериев в процентах</w:t>
            </w:r>
          </w:p>
          <w:p w:rsidR="00684FB0" w:rsidRPr="00684FB0" w:rsidRDefault="00684FB0" w:rsidP="00684FB0">
            <w:pPr>
              <w:jc w:val="center"/>
              <w:rPr>
                <w:b/>
                <w:bCs/>
              </w:rPr>
            </w:pPr>
            <w:r w:rsidRPr="00684FB0">
              <w:rPr>
                <w:b/>
                <w:bCs/>
              </w:rPr>
              <w:t>(К)</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1.</w:t>
            </w:r>
          </w:p>
        </w:tc>
        <w:tc>
          <w:tcPr>
            <w:tcW w:w="5640" w:type="dxa"/>
            <w:tcBorders>
              <w:top w:val="single" w:sz="4" w:space="0" w:color="auto"/>
              <w:left w:val="single" w:sz="4" w:space="0" w:color="auto"/>
              <w:right w:val="single" w:sz="4" w:space="0" w:color="auto"/>
            </w:tcBorders>
          </w:tcPr>
          <w:p w:rsidR="00684FB0" w:rsidRPr="00684FB0" w:rsidRDefault="00250FE9" w:rsidP="00250FE9">
            <w:pPr>
              <w:ind w:hanging="3"/>
              <w:jc w:val="both"/>
            </w:pPr>
            <w:r>
              <w:t>Коэффициент снижения цены</w:t>
            </w:r>
          </w:p>
        </w:tc>
        <w:tc>
          <w:tcPr>
            <w:tcW w:w="2478" w:type="dxa"/>
            <w:tcBorders>
              <w:top w:val="single" w:sz="4" w:space="0" w:color="auto"/>
              <w:left w:val="single" w:sz="4" w:space="0" w:color="auto"/>
              <w:right w:val="single" w:sz="4" w:space="0" w:color="auto"/>
            </w:tcBorders>
          </w:tcPr>
          <w:p w:rsidR="00684FB0" w:rsidRPr="00684FB0" w:rsidRDefault="00CE036F" w:rsidP="006C6765">
            <w:pPr>
              <w:tabs>
                <w:tab w:val="num" w:pos="1980"/>
              </w:tabs>
              <w:ind w:left="34"/>
              <w:jc w:val="center"/>
            </w:pPr>
            <w:r>
              <w:t>9</w:t>
            </w:r>
            <w:r w:rsidR="006C6765">
              <w:t>7</w:t>
            </w:r>
            <w:r w:rsidR="00684FB0" w:rsidRPr="00684FB0">
              <w:t>%</w:t>
            </w:r>
          </w:p>
        </w:tc>
      </w:tr>
      <w:tr w:rsidR="00684FB0" w:rsidRPr="00684FB0" w:rsidTr="000934BA">
        <w:trPr>
          <w:trHeight w:val="70"/>
        </w:trPr>
        <w:tc>
          <w:tcPr>
            <w:tcW w:w="1200" w:type="dxa"/>
            <w:tcBorders>
              <w:top w:val="single" w:sz="4" w:space="0" w:color="auto"/>
              <w:left w:val="single" w:sz="4" w:space="0" w:color="auto"/>
              <w:right w:val="single" w:sz="4" w:space="0" w:color="auto"/>
            </w:tcBorders>
          </w:tcPr>
          <w:p w:rsidR="00684FB0" w:rsidRPr="00684FB0" w:rsidRDefault="00684FB0" w:rsidP="00684FB0">
            <w:pPr>
              <w:jc w:val="center"/>
            </w:pPr>
            <w:r w:rsidRPr="00684FB0">
              <w:t>2.</w:t>
            </w:r>
          </w:p>
        </w:tc>
        <w:tc>
          <w:tcPr>
            <w:tcW w:w="5640" w:type="dxa"/>
            <w:tcBorders>
              <w:top w:val="single" w:sz="4" w:space="0" w:color="auto"/>
              <w:left w:val="single" w:sz="4" w:space="0" w:color="auto"/>
              <w:right w:val="single" w:sz="4" w:space="0" w:color="auto"/>
            </w:tcBorders>
          </w:tcPr>
          <w:p w:rsidR="00684FB0" w:rsidRPr="00684FB0" w:rsidRDefault="00250FE9" w:rsidP="006C6765">
            <w:pPr>
              <w:ind w:hanging="3"/>
              <w:jc w:val="both"/>
            </w:pPr>
            <w:r w:rsidRPr="00446992">
              <w:rPr>
                <w:color w:val="000000"/>
              </w:rPr>
              <w:t>Сроки оплаты по договору</w:t>
            </w:r>
          </w:p>
        </w:tc>
        <w:tc>
          <w:tcPr>
            <w:tcW w:w="2478" w:type="dxa"/>
            <w:tcBorders>
              <w:top w:val="single" w:sz="4" w:space="0" w:color="auto"/>
              <w:left w:val="single" w:sz="4" w:space="0" w:color="auto"/>
              <w:right w:val="single" w:sz="4" w:space="0" w:color="auto"/>
            </w:tcBorders>
          </w:tcPr>
          <w:p w:rsidR="00684FB0" w:rsidRPr="00684FB0" w:rsidRDefault="006C6765" w:rsidP="00CE036F">
            <w:pPr>
              <w:tabs>
                <w:tab w:val="num" w:pos="1980"/>
              </w:tabs>
              <w:ind w:left="34"/>
              <w:jc w:val="center"/>
            </w:pPr>
            <w:r>
              <w:t>3</w:t>
            </w:r>
            <w:r w:rsidR="00684FB0" w:rsidRPr="00684FB0">
              <w:t>%</w:t>
            </w:r>
          </w:p>
        </w:tc>
      </w:tr>
      <w:tr w:rsidR="00684FB0" w:rsidRPr="00684FB0" w:rsidTr="000934BA">
        <w:tc>
          <w:tcPr>
            <w:tcW w:w="6840" w:type="dxa"/>
            <w:gridSpan w:val="2"/>
            <w:tcBorders>
              <w:top w:val="single" w:sz="4" w:space="0" w:color="auto"/>
              <w:left w:val="single" w:sz="4" w:space="0" w:color="auto"/>
              <w:bottom w:val="single" w:sz="4" w:space="0" w:color="auto"/>
              <w:right w:val="single" w:sz="4" w:space="0" w:color="auto"/>
            </w:tcBorders>
          </w:tcPr>
          <w:p w:rsidR="00684FB0" w:rsidRPr="00684FB0" w:rsidRDefault="00684FB0" w:rsidP="00684FB0">
            <w:pPr>
              <w:rPr>
                <w:b/>
              </w:rPr>
            </w:pPr>
            <w:r w:rsidRPr="00684FB0">
              <w:rPr>
                <w:b/>
              </w:rPr>
              <w:t>Сумма значимостей критериев оценки заявок на участие в 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684FB0" w:rsidRPr="00684FB0" w:rsidRDefault="00684FB0" w:rsidP="00684FB0">
            <w:pPr>
              <w:jc w:val="center"/>
              <w:rPr>
                <w:b/>
              </w:rPr>
            </w:pPr>
            <w:r w:rsidRPr="00684FB0">
              <w:rPr>
                <w:b/>
              </w:rPr>
              <w:t>100%</w:t>
            </w:r>
          </w:p>
        </w:tc>
      </w:tr>
    </w:tbl>
    <w:p w:rsidR="00684FB0" w:rsidRPr="00684FB0" w:rsidRDefault="00684FB0" w:rsidP="00684FB0">
      <w:pPr>
        <w:rPr>
          <w:b/>
          <w:smallCaps/>
        </w:rPr>
      </w:pPr>
    </w:p>
    <w:p w:rsidR="00684FB0" w:rsidRPr="00684FB0" w:rsidRDefault="00684FB0" w:rsidP="00684FB0">
      <w:pPr>
        <w:ind w:firstLine="360"/>
        <w:jc w:val="both"/>
        <w:rPr>
          <w:b/>
          <w:smallCaps/>
        </w:rPr>
      </w:pPr>
      <w:r w:rsidRPr="00684FB0">
        <w:rPr>
          <w:b/>
          <w:smallCaps/>
        </w:rPr>
        <w:t xml:space="preserve">2. </w:t>
      </w:r>
      <w:r w:rsidRPr="00684FB0">
        <w:rPr>
          <w:b/>
        </w:rPr>
        <w:t xml:space="preserve">Требования к описанию </w:t>
      </w:r>
      <w:r w:rsidR="00C55A76">
        <w:rPr>
          <w:b/>
        </w:rPr>
        <w:t>участниками закупки</w:t>
      </w:r>
      <w:r w:rsidRPr="00684FB0">
        <w:rPr>
          <w:b/>
        </w:rPr>
        <w:t xml:space="preserve"> запроса предложений выполняемых работ, которые является предметом </w:t>
      </w:r>
      <w:r w:rsidR="00C55A76">
        <w:rPr>
          <w:b/>
        </w:rPr>
        <w:t xml:space="preserve">открытого </w:t>
      </w:r>
      <w:r w:rsidRPr="00684FB0">
        <w:rPr>
          <w:b/>
        </w:rPr>
        <w:t>запроса предложений, их качественных характеристик</w:t>
      </w:r>
    </w:p>
    <w:p w:rsidR="00684FB0" w:rsidRPr="00684FB0" w:rsidRDefault="00684FB0" w:rsidP="00684FB0">
      <w:pPr>
        <w:ind w:left="360"/>
        <w:jc w:val="both"/>
        <w:rPr>
          <w:b/>
        </w:rPr>
      </w:pPr>
    </w:p>
    <w:p w:rsidR="00684FB0" w:rsidRPr="00250FE9" w:rsidRDefault="00684FB0" w:rsidP="00684FB0">
      <w:pPr>
        <w:ind w:left="360"/>
        <w:jc w:val="both"/>
        <w:rPr>
          <w:b/>
        </w:rPr>
      </w:pPr>
      <w:r w:rsidRPr="00684FB0">
        <w:rPr>
          <w:b/>
        </w:rPr>
        <w:t xml:space="preserve">2.1.Критерий </w:t>
      </w:r>
      <w:r w:rsidRPr="00250FE9">
        <w:rPr>
          <w:b/>
        </w:rPr>
        <w:t>«</w:t>
      </w:r>
      <w:r w:rsidR="00250FE9" w:rsidRPr="00250FE9">
        <w:rPr>
          <w:b/>
        </w:rPr>
        <w:t>Коэффициент снижения цены</w:t>
      </w:r>
      <w:r w:rsidRPr="00250FE9">
        <w:rPr>
          <w:b/>
        </w:rPr>
        <w:t>»</w:t>
      </w:r>
      <w:r w:rsidR="00250FE9">
        <w:rPr>
          <w:b/>
        </w:rPr>
        <w:t>:</w:t>
      </w:r>
    </w:p>
    <w:p w:rsidR="00684FB0" w:rsidRPr="00684FB0" w:rsidRDefault="00684FB0" w:rsidP="00684FB0">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684FB0" w:rsidRPr="00684FB0" w:rsidTr="000934BA">
        <w:trPr>
          <w:tblHeader/>
        </w:trPr>
        <w:tc>
          <w:tcPr>
            <w:tcW w:w="2002"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684FB0" w:rsidRPr="00684FB0" w:rsidTr="000934BA">
        <w:trPr>
          <w:trHeight w:val="70"/>
        </w:trPr>
        <w:tc>
          <w:tcPr>
            <w:tcW w:w="2002" w:type="dxa"/>
            <w:tcBorders>
              <w:top w:val="single" w:sz="4" w:space="0" w:color="auto"/>
              <w:left w:val="single" w:sz="4" w:space="0" w:color="auto"/>
              <w:right w:val="single" w:sz="4" w:space="0" w:color="auto"/>
            </w:tcBorders>
          </w:tcPr>
          <w:p w:rsidR="00684FB0" w:rsidRPr="00684FB0" w:rsidRDefault="00250FE9" w:rsidP="00684FB0">
            <w:pPr>
              <w:ind w:hanging="3"/>
            </w:pPr>
            <w:r>
              <w:t>Коэффициент снижения цены</w:t>
            </w:r>
          </w:p>
        </w:tc>
        <w:tc>
          <w:tcPr>
            <w:tcW w:w="2223" w:type="dxa"/>
            <w:tcBorders>
              <w:top w:val="single" w:sz="4" w:space="0" w:color="auto"/>
              <w:left w:val="single" w:sz="4" w:space="0" w:color="auto"/>
              <w:right w:val="single" w:sz="4" w:space="0" w:color="auto"/>
            </w:tcBorders>
          </w:tcPr>
          <w:p w:rsidR="00684FB0" w:rsidRPr="00684FB0" w:rsidRDefault="00250FE9" w:rsidP="00684FB0">
            <w:r>
              <w:t>коэффициент</w:t>
            </w:r>
          </w:p>
        </w:tc>
        <w:tc>
          <w:tcPr>
            <w:tcW w:w="5135" w:type="dxa"/>
            <w:tcBorders>
              <w:top w:val="single" w:sz="4" w:space="0" w:color="auto"/>
              <w:left w:val="single" w:sz="4" w:space="0" w:color="auto"/>
              <w:right w:val="single" w:sz="4" w:space="0" w:color="auto"/>
            </w:tcBorders>
          </w:tcPr>
          <w:p w:rsidR="00684FB0" w:rsidRPr="00684FB0" w:rsidRDefault="00250FE9" w:rsidP="00911B0D">
            <w:pPr>
              <w:jc w:val="both"/>
            </w:pPr>
            <w:r w:rsidRPr="00250FE9">
              <w:t>Оценивается размер коэффициента снижения цены. Коэффициент снижения цены выражается в виде десятичной дроби (например, «0,98» или «0,9» и т.п.)</w:t>
            </w:r>
          </w:p>
        </w:tc>
      </w:tr>
    </w:tbl>
    <w:p w:rsidR="00684FB0" w:rsidRPr="00684FB0" w:rsidRDefault="00684FB0" w:rsidP="00684FB0">
      <w:pPr>
        <w:keepNext/>
        <w:ind w:left="357"/>
        <w:rPr>
          <w:b/>
        </w:rPr>
      </w:pPr>
    </w:p>
    <w:p w:rsidR="006C6765" w:rsidRPr="006603A3" w:rsidRDefault="00684FB0" w:rsidP="006C6765">
      <w:pPr>
        <w:tabs>
          <w:tab w:val="left" w:pos="720"/>
          <w:tab w:val="num" w:pos="1980"/>
        </w:tabs>
        <w:ind w:hanging="3"/>
        <w:jc w:val="both"/>
      </w:pPr>
      <w:r w:rsidRPr="00684FB0">
        <w:rPr>
          <w:b/>
          <w:szCs w:val="28"/>
        </w:rPr>
        <w:t>2.2. Критерий «</w:t>
      </w:r>
      <w:r w:rsidR="00250FE9" w:rsidRPr="00250FE9">
        <w:rPr>
          <w:b/>
        </w:rPr>
        <w:t>Сроки оплаты по договору»</w:t>
      </w:r>
      <w:r w:rsidR="006C6765" w:rsidRPr="00250FE9">
        <w:rPr>
          <w:b/>
        </w:rPr>
        <w:t>:</w:t>
      </w:r>
    </w:p>
    <w:p w:rsidR="00684FB0" w:rsidRPr="00684FB0" w:rsidRDefault="00684FB0" w:rsidP="00684FB0">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5245"/>
      </w:tblGrid>
      <w:tr w:rsidR="00684FB0" w:rsidRPr="00684FB0" w:rsidTr="006C6765">
        <w:trPr>
          <w:tblHeader/>
        </w:trPr>
        <w:tc>
          <w:tcPr>
            <w:tcW w:w="4536"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bCs/>
              </w:rPr>
              <w:t>Наименование</w:t>
            </w:r>
          </w:p>
        </w:tc>
        <w:tc>
          <w:tcPr>
            <w:tcW w:w="5245" w:type="dxa"/>
            <w:tcBorders>
              <w:top w:val="single" w:sz="4" w:space="0" w:color="auto"/>
              <w:left w:val="single" w:sz="4" w:space="0" w:color="auto"/>
              <w:bottom w:val="single" w:sz="4" w:space="0" w:color="auto"/>
              <w:right w:val="single" w:sz="4" w:space="0" w:color="auto"/>
            </w:tcBorders>
            <w:vAlign w:val="center"/>
          </w:tcPr>
          <w:p w:rsidR="00684FB0" w:rsidRPr="00684FB0" w:rsidRDefault="00684FB0" w:rsidP="00684FB0">
            <w:pPr>
              <w:jc w:val="both"/>
              <w:rPr>
                <w:b/>
                <w:bCs/>
              </w:rPr>
            </w:pPr>
            <w:r w:rsidRPr="00684FB0">
              <w:rPr>
                <w:b/>
                <w:szCs w:val="28"/>
              </w:rPr>
              <w:t>Требования к описанию критерия</w:t>
            </w:r>
          </w:p>
        </w:tc>
      </w:tr>
      <w:tr w:rsidR="00250FE9" w:rsidRPr="00684FB0" w:rsidTr="006C6765">
        <w:trPr>
          <w:trHeight w:val="2893"/>
        </w:trPr>
        <w:tc>
          <w:tcPr>
            <w:tcW w:w="4536" w:type="dxa"/>
            <w:tcBorders>
              <w:top w:val="single" w:sz="4" w:space="0" w:color="auto"/>
              <w:left w:val="single" w:sz="4" w:space="0" w:color="auto"/>
              <w:right w:val="single" w:sz="4" w:space="0" w:color="auto"/>
            </w:tcBorders>
          </w:tcPr>
          <w:p w:rsidR="00250FE9" w:rsidRPr="00250FE9" w:rsidRDefault="00250FE9" w:rsidP="00250FE9">
            <w:pPr>
              <w:ind w:hanging="3"/>
            </w:pPr>
            <w:r w:rsidRPr="00250FE9">
              <w:rPr>
                <w:color w:val="000000"/>
              </w:rPr>
              <w:t>Сроки оплаты по договору</w:t>
            </w:r>
          </w:p>
        </w:tc>
        <w:tc>
          <w:tcPr>
            <w:tcW w:w="5245" w:type="dxa"/>
            <w:tcBorders>
              <w:top w:val="single" w:sz="4" w:space="0" w:color="auto"/>
              <w:left w:val="single" w:sz="4" w:space="0" w:color="auto"/>
              <w:right w:val="single" w:sz="4" w:space="0" w:color="auto"/>
            </w:tcBorders>
          </w:tcPr>
          <w:p w:rsidR="00250FE9" w:rsidRPr="00046853" w:rsidRDefault="00250FE9" w:rsidP="00250FE9">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50FE9" w:rsidRDefault="00250FE9" w:rsidP="00250FE9">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250FE9" w:rsidRPr="0023130A" w:rsidRDefault="00250FE9" w:rsidP="00250FE9">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684FB0" w:rsidRPr="00684FB0" w:rsidRDefault="00684FB0" w:rsidP="00684FB0">
      <w:pPr>
        <w:jc w:val="both"/>
        <w:rPr>
          <w:b/>
        </w:rPr>
      </w:pPr>
      <w:bookmarkStart w:id="2" w:name="_Toc518119388"/>
    </w:p>
    <w:p w:rsidR="00684FB0" w:rsidRPr="00684FB0" w:rsidRDefault="00684FB0" w:rsidP="00684FB0">
      <w:pPr>
        <w:jc w:val="both"/>
        <w:rPr>
          <w:b/>
        </w:rPr>
      </w:pPr>
      <w:r w:rsidRPr="00684FB0">
        <w:rPr>
          <w:b/>
        </w:rPr>
        <w:t>3.</w:t>
      </w:r>
      <w:bookmarkEnd w:id="2"/>
      <w:r w:rsidRPr="00684FB0">
        <w:rPr>
          <w:b/>
        </w:rPr>
        <w:t>Оценка заявок на участие в запросе предложений по критериям</w:t>
      </w:r>
    </w:p>
    <w:p w:rsidR="00684FB0" w:rsidRPr="00684FB0" w:rsidRDefault="00684FB0" w:rsidP="00684FB0">
      <w:pPr>
        <w:keepNext/>
        <w:ind w:firstLine="567"/>
        <w:jc w:val="both"/>
      </w:pPr>
    </w:p>
    <w:p w:rsidR="00684FB0" w:rsidRPr="00684FB0" w:rsidRDefault="00684FB0" w:rsidP="00684FB0">
      <w:pPr>
        <w:keepNext/>
        <w:ind w:firstLine="567"/>
        <w:jc w:val="both"/>
      </w:pPr>
      <w:r w:rsidRPr="00684FB0">
        <w:t>3.1. Рейтинг, присуждаемый заявке по критерию «</w:t>
      </w:r>
      <w:r w:rsidR="00250FE9" w:rsidRPr="00250FE9">
        <w:t>Коэффициент снижения цены</w:t>
      </w:r>
      <w:r w:rsidRPr="00684FB0">
        <w:t>», определяется по формуле:</w:t>
      </w:r>
    </w:p>
    <w:p w:rsidR="00684FB0" w:rsidRPr="00684FB0" w:rsidRDefault="00684FB0" w:rsidP="00684FB0">
      <w:pPr>
        <w:jc w:val="center"/>
      </w:pPr>
      <w:r w:rsidRPr="00684FB0">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1901303" r:id="rId9"/>
        </w:object>
      </w:r>
      <w:r w:rsidRPr="00684FB0">
        <w:t>,</w:t>
      </w:r>
    </w:p>
    <w:p w:rsidR="00684FB0" w:rsidRPr="00684FB0" w:rsidRDefault="00684FB0" w:rsidP="00684FB0">
      <w:pPr>
        <w:autoSpaceDE w:val="0"/>
        <w:autoSpaceDN w:val="0"/>
        <w:adjustRightInd w:val="0"/>
        <w:ind w:firstLine="600"/>
      </w:pPr>
      <w:r w:rsidRPr="00684FB0">
        <w:t>где:</w:t>
      </w:r>
    </w:p>
    <w:p w:rsidR="00684FB0" w:rsidRPr="00684FB0" w:rsidRDefault="00684FB0" w:rsidP="00684FB0">
      <w:pPr>
        <w:autoSpaceDE w:val="0"/>
        <w:autoSpaceDN w:val="0"/>
        <w:adjustRightInd w:val="0"/>
        <w:ind w:firstLine="600"/>
      </w:pPr>
      <w:proofErr w:type="spellStart"/>
      <w:r w:rsidRPr="00684FB0">
        <w:t>Ra</w:t>
      </w:r>
      <w:r w:rsidRPr="00684FB0">
        <w:rPr>
          <w:vertAlign w:val="subscript"/>
        </w:rPr>
        <w:t>i</w:t>
      </w:r>
      <w:proofErr w:type="spellEnd"/>
      <w:r w:rsidRPr="00684FB0">
        <w:t>- рейтинг, присуждаемый i-й заявке по указанному критерию;</w:t>
      </w:r>
    </w:p>
    <w:p w:rsidR="00684FB0" w:rsidRPr="00684FB0" w:rsidRDefault="00684FB0" w:rsidP="00684FB0">
      <w:pPr>
        <w:autoSpaceDE w:val="0"/>
        <w:autoSpaceDN w:val="0"/>
        <w:adjustRightInd w:val="0"/>
        <w:ind w:right="-125" w:firstLine="600"/>
        <w:jc w:val="both"/>
      </w:pPr>
      <w:proofErr w:type="spellStart"/>
      <w:r w:rsidRPr="00684FB0">
        <w:t>A</w:t>
      </w:r>
      <w:r w:rsidRPr="00684FB0">
        <w:rPr>
          <w:vertAlign w:val="subscript"/>
        </w:rPr>
        <w:t>min</w:t>
      </w:r>
      <w:proofErr w:type="spellEnd"/>
      <w:r w:rsidRPr="00684FB0">
        <w:t xml:space="preserve">–минимальное предложение участника запроса предложений о </w:t>
      </w:r>
      <w:r w:rsidR="00250FE9">
        <w:t>размере коэффициента снижения цены</w:t>
      </w:r>
      <w:r w:rsidRPr="00684FB0">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84FB0" w:rsidRPr="00684FB0" w:rsidRDefault="00684FB0" w:rsidP="00684FB0">
      <w:pPr>
        <w:autoSpaceDE w:val="0"/>
        <w:autoSpaceDN w:val="0"/>
        <w:adjustRightInd w:val="0"/>
        <w:ind w:firstLine="600"/>
      </w:pPr>
      <w:proofErr w:type="spellStart"/>
      <w:r w:rsidRPr="00684FB0">
        <w:t>A</w:t>
      </w:r>
      <w:r w:rsidRPr="00684FB0">
        <w:rPr>
          <w:vertAlign w:val="subscript"/>
        </w:rPr>
        <w:t>i</w:t>
      </w:r>
      <w:proofErr w:type="spellEnd"/>
      <w:r w:rsidRPr="00684FB0">
        <w:t xml:space="preserve"> -  </w:t>
      </w:r>
      <w:proofErr w:type="gramStart"/>
      <w:r w:rsidRPr="00684FB0">
        <w:t>предложение  i</w:t>
      </w:r>
      <w:proofErr w:type="gramEnd"/>
      <w:r w:rsidRPr="00684FB0">
        <w:t>-</w:t>
      </w:r>
      <w:proofErr w:type="spellStart"/>
      <w:r w:rsidRPr="00684FB0">
        <w:t>го</w:t>
      </w:r>
      <w:proofErr w:type="spellEnd"/>
      <w:r w:rsidRPr="00684FB0">
        <w:t xml:space="preserve"> участника </w:t>
      </w:r>
      <w:r w:rsidRPr="00684FB0">
        <w:rPr>
          <w:rFonts w:cs="Courier New"/>
        </w:rPr>
        <w:t xml:space="preserve">запроса предложений </w:t>
      </w:r>
      <w:r w:rsidRPr="00684FB0">
        <w:t xml:space="preserve">по </w:t>
      </w:r>
      <w:r w:rsidR="00250FE9">
        <w:t>коэффициенту снижения цены</w:t>
      </w:r>
      <w:r w:rsidRPr="00684FB0">
        <w:t>.</w:t>
      </w:r>
    </w:p>
    <w:p w:rsidR="00684FB0" w:rsidRPr="00684FB0" w:rsidRDefault="00684FB0" w:rsidP="00684FB0">
      <w:pPr>
        <w:autoSpaceDE w:val="0"/>
        <w:autoSpaceDN w:val="0"/>
        <w:adjustRightInd w:val="0"/>
        <w:ind w:left="1134"/>
        <w:jc w:val="both"/>
      </w:pPr>
    </w:p>
    <w:p w:rsidR="00684FB0" w:rsidRPr="00684FB0" w:rsidRDefault="00684FB0" w:rsidP="00684FB0">
      <w:pPr>
        <w:ind w:firstLine="567"/>
        <w:jc w:val="both"/>
      </w:pPr>
      <w:r w:rsidRPr="00684FB0">
        <w:t>Для расчета итогового рейтинга по заявке на участие в запросе предложений</w:t>
      </w:r>
      <w:r w:rsidRPr="00684FB0">
        <w:br/>
        <w:t>рейтинг, присуждаемый этой заявке по критерию «</w:t>
      </w:r>
      <w:r w:rsidR="00250FE9">
        <w:t>Коэффициент снижения цены</w:t>
      </w:r>
      <w:r w:rsidRPr="00684FB0">
        <w:t>», умножается на соответствующую указанному критерию значимость.</w:t>
      </w:r>
    </w:p>
    <w:p w:rsidR="00684FB0" w:rsidRPr="00684FB0" w:rsidRDefault="00684FB0" w:rsidP="00684FB0">
      <w:pPr>
        <w:ind w:firstLine="567"/>
        <w:jc w:val="both"/>
      </w:pPr>
    </w:p>
    <w:p w:rsidR="00250FE9" w:rsidRPr="00684FB0" w:rsidRDefault="00684FB0" w:rsidP="00250FE9">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50FE9" w:rsidRPr="00250FE9">
        <w:rPr>
          <w:color w:val="000000"/>
        </w:rPr>
        <w:t>Сроки оплаты по договору</w:t>
      </w:r>
      <w:r w:rsidR="00250FE9">
        <w:t xml:space="preserve">» </w:t>
      </w:r>
      <w:r w:rsidR="00250FE9" w:rsidRPr="00684FB0">
        <w:rPr>
          <w:szCs w:val="28"/>
        </w:rPr>
        <w:t>определяется следующим образом:</w:t>
      </w:r>
    </w:p>
    <w:p w:rsidR="00250FE9" w:rsidRDefault="00250FE9" w:rsidP="007867A5">
      <w:pPr>
        <w:jc w:val="both"/>
      </w:pPr>
      <w:r w:rsidRPr="0029432A">
        <w:t>Наличие в заявке участника закупки условий оплаты:</w:t>
      </w:r>
    </w:p>
    <w:p w:rsidR="007867A5" w:rsidRPr="007867A5" w:rsidRDefault="007867A5" w:rsidP="007867A5">
      <w:pPr>
        <w:ind w:firstLine="528"/>
        <w:jc w:val="both"/>
      </w:pPr>
      <w:r w:rsidRPr="007867A5">
        <w:t xml:space="preserve">Основной платеж 90% (девяносто процентов) от цены Заказа (Этапа строительства) - Заказчик-застройщик оплачивает в течение </w:t>
      </w:r>
      <w:r>
        <w:t>9</w:t>
      </w:r>
      <w:r w:rsidRPr="007867A5">
        <w:t xml:space="preserve">0 </w:t>
      </w:r>
      <w:r>
        <w:t xml:space="preserve">(девяноста) </w:t>
      </w:r>
      <w:r w:rsidRPr="007867A5">
        <w:t>календарных дней с момента сдачи части выполненных работ по Заказу (Этапу строительства) на основании:</w:t>
      </w:r>
    </w:p>
    <w:p w:rsidR="007867A5" w:rsidRPr="007867A5" w:rsidRDefault="007867A5" w:rsidP="007867A5">
      <w:pPr>
        <w:ind w:firstLine="528"/>
        <w:jc w:val="both"/>
      </w:pPr>
      <w:r w:rsidRPr="007867A5">
        <w:t>•</w:t>
      </w:r>
      <w:r w:rsidRPr="007867A5">
        <w:tab/>
        <w:t>всех подписанных Сторонами актов предварительных приёмо-сдаточных работ и актов о приёмке выполненных работ по форме КС-2 и приложений к ним, формы М-29, включающим подтверждение выполнения объёмов Работ представителем Заказчика-застройщика (техническим надзором), находящимся на Площадке, завизированный материально-ответственным лицом, ответственным за данную Площадку;</w:t>
      </w:r>
    </w:p>
    <w:p w:rsidR="007867A5" w:rsidRPr="007867A5" w:rsidRDefault="007867A5" w:rsidP="007867A5">
      <w:pPr>
        <w:ind w:firstLine="528"/>
        <w:jc w:val="both"/>
      </w:pPr>
      <w:r w:rsidRPr="007867A5">
        <w:t>•</w:t>
      </w:r>
      <w:r w:rsidRPr="007867A5">
        <w:tab/>
        <w:t>всех подписанных Сторонами справок о стоимости выполненных работ и затрат по форме КС-3;</w:t>
      </w:r>
    </w:p>
    <w:p w:rsidR="007867A5" w:rsidRPr="007867A5" w:rsidRDefault="007867A5" w:rsidP="007867A5">
      <w:pPr>
        <w:ind w:firstLine="528"/>
        <w:jc w:val="both"/>
      </w:pPr>
      <w:r w:rsidRPr="007867A5">
        <w:t>•</w:t>
      </w:r>
      <w:r w:rsidRPr="007867A5">
        <w:tab/>
        <w:t>устранения выявленных недостатков работ;</w:t>
      </w:r>
    </w:p>
    <w:p w:rsidR="007867A5" w:rsidRPr="007867A5" w:rsidRDefault="007867A5" w:rsidP="007867A5">
      <w:pPr>
        <w:ind w:firstLine="528"/>
        <w:jc w:val="both"/>
      </w:pPr>
      <w:r w:rsidRPr="007867A5">
        <w:t>•</w:t>
      </w:r>
      <w:r w:rsidRPr="007867A5">
        <w:tab/>
        <w:t>подписания Акта приёмки Проектной документации по Заказу (Этапу строительства);</w:t>
      </w:r>
    </w:p>
    <w:p w:rsidR="007867A5" w:rsidRPr="007867A5" w:rsidRDefault="007867A5" w:rsidP="007867A5">
      <w:pPr>
        <w:ind w:firstLine="528"/>
        <w:jc w:val="both"/>
      </w:pPr>
      <w:r w:rsidRPr="007867A5">
        <w:t>•</w:t>
      </w:r>
      <w:r w:rsidRPr="007867A5">
        <w:tab/>
        <w:t>подписания Акта приёмки услуг;</w:t>
      </w:r>
    </w:p>
    <w:p w:rsidR="007867A5" w:rsidRPr="007867A5" w:rsidRDefault="007867A5" w:rsidP="007867A5">
      <w:pPr>
        <w:ind w:firstLine="528"/>
        <w:jc w:val="both"/>
      </w:pPr>
      <w:r w:rsidRPr="007867A5">
        <w:t>•</w:t>
      </w:r>
      <w:r w:rsidRPr="007867A5">
        <w:tab/>
        <w:t>полученного Заказчиком-застройщиком счёта на оплату от Подрядчика;</w:t>
      </w:r>
    </w:p>
    <w:p w:rsidR="007867A5" w:rsidRPr="007867A5" w:rsidRDefault="007867A5" w:rsidP="007867A5">
      <w:pPr>
        <w:ind w:firstLine="528"/>
        <w:jc w:val="both"/>
      </w:pPr>
      <w:r w:rsidRPr="007867A5">
        <w:t>•</w:t>
      </w:r>
      <w:r w:rsidRPr="007867A5">
        <w:tab/>
        <w:t>полученного Заказчиком-застройщиком счета-фактуры Подрядчика.</w:t>
      </w:r>
    </w:p>
    <w:p w:rsidR="007867A5" w:rsidRPr="007867A5" w:rsidRDefault="007867A5" w:rsidP="007867A5">
      <w:pPr>
        <w:ind w:firstLine="528"/>
        <w:jc w:val="both"/>
      </w:pPr>
      <w:r w:rsidRPr="007867A5">
        <w:t xml:space="preserve">Окончательный расчёт за выполненные Работы по Заказу Заказчик-застройщик оплачивает 10% (десять процентов) цены Заказа, в том числе НДС 18 %, в течение </w:t>
      </w:r>
      <w:r>
        <w:t>9</w:t>
      </w:r>
      <w:r w:rsidRPr="007867A5">
        <w:t xml:space="preserve">0 </w:t>
      </w:r>
      <w:r>
        <w:t xml:space="preserve">(девяноста) </w:t>
      </w:r>
      <w:r w:rsidRPr="007867A5">
        <w:t>календарных дней на основании:</w:t>
      </w:r>
    </w:p>
    <w:p w:rsidR="007867A5" w:rsidRPr="007867A5" w:rsidRDefault="007867A5" w:rsidP="007867A5">
      <w:pPr>
        <w:ind w:firstLine="528"/>
        <w:jc w:val="both"/>
      </w:pPr>
      <w:r w:rsidRPr="007867A5">
        <w:t>•</w:t>
      </w:r>
      <w:r w:rsidRPr="007867A5">
        <w:tab/>
        <w:t>переданного Подрядчиком Заказчику-застройщику полного исправленного комплекта исполнительной документации на выполненные СМР;</w:t>
      </w:r>
    </w:p>
    <w:p w:rsidR="007867A5" w:rsidRPr="007867A5" w:rsidRDefault="007867A5" w:rsidP="007867A5">
      <w:pPr>
        <w:ind w:firstLine="528"/>
        <w:jc w:val="both"/>
      </w:pPr>
      <w:r w:rsidRPr="007867A5">
        <w:t>•</w:t>
      </w:r>
      <w:r w:rsidRPr="007867A5">
        <w:tab/>
        <w:t>подписанного и утвержденного Акта КС-14 по Заказу (Этапу строительства);</w:t>
      </w:r>
    </w:p>
    <w:p w:rsidR="007867A5" w:rsidRPr="007867A5" w:rsidRDefault="007867A5" w:rsidP="007867A5">
      <w:pPr>
        <w:ind w:firstLine="528"/>
        <w:jc w:val="both"/>
      </w:pPr>
      <w:r w:rsidRPr="007867A5">
        <w:t>•</w:t>
      </w:r>
      <w:r w:rsidRPr="007867A5">
        <w:tab/>
        <w:t>полученного Заказчиком-застройщиком счёта на оплату от Подрядчика;</w:t>
      </w:r>
    </w:p>
    <w:p w:rsidR="00250FE9" w:rsidRDefault="007867A5" w:rsidP="007867A5">
      <w:pPr>
        <w:rPr>
          <w:b/>
        </w:rPr>
      </w:pPr>
      <w:r w:rsidRPr="007867A5">
        <w:t>•</w:t>
      </w:r>
      <w:r w:rsidRPr="007867A5">
        <w:tab/>
        <w:t xml:space="preserve">полученного Заказчиком-застройщиком счета-фактуры </w:t>
      </w:r>
      <w:proofErr w:type="gramStart"/>
      <w:r w:rsidRPr="007867A5">
        <w:t>Подрядчика.</w:t>
      </w:r>
      <w:r w:rsidR="00250FE9" w:rsidRPr="0029432A">
        <w:t>–</w:t>
      </w:r>
      <w:proofErr w:type="gramEnd"/>
      <w:r w:rsidR="00250FE9" w:rsidRPr="0029432A">
        <w:t xml:space="preserve"> </w:t>
      </w:r>
      <w:r w:rsidR="00250FE9" w:rsidRPr="0029432A">
        <w:rPr>
          <w:b/>
        </w:rPr>
        <w:t>100 баллов,</w:t>
      </w:r>
    </w:p>
    <w:p w:rsidR="007867A5" w:rsidRPr="0029432A" w:rsidRDefault="007867A5" w:rsidP="007867A5"/>
    <w:p w:rsidR="00250FE9" w:rsidRDefault="00250FE9" w:rsidP="007867A5">
      <w:pPr>
        <w:jc w:val="both"/>
      </w:pPr>
      <w:r w:rsidRPr="0029432A">
        <w:t>Наличие в заявке участника закупки условий оплаты</w:t>
      </w:r>
      <w:r>
        <w:t xml:space="preserve">: </w:t>
      </w:r>
      <w:r w:rsidRPr="0029432A">
        <w:t xml:space="preserve"> </w:t>
      </w:r>
    </w:p>
    <w:p w:rsidR="007867A5" w:rsidRDefault="007867A5" w:rsidP="007867A5">
      <w:pPr>
        <w:rPr>
          <w:lang w:eastAsia="en-US"/>
        </w:rPr>
      </w:pPr>
      <w:r>
        <w:rPr>
          <w:lang w:eastAsia="en-US"/>
        </w:rPr>
        <w:t xml:space="preserve">      </w:t>
      </w:r>
      <w:r>
        <w:rPr>
          <w:lang w:eastAsia="en-US"/>
        </w:rPr>
        <w:t>Основной платеж 90% (девяносто процентов) от цены Заказа (Этапа строительства) - Заказчик-застройщик оплачивает в течение 60 календарных дней с момента сдачи части выполненных работ по Заказу (Этапу строительства) на основании:</w:t>
      </w:r>
    </w:p>
    <w:p w:rsidR="007867A5" w:rsidRDefault="007867A5" w:rsidP="007867A5">
      <w:pPr>
        <w:rPr>
          <w:lang w:eastAsia="en-US"/>
        </w:rPr>
      </w:pPr>
      <w:r>
        <w:rPr>
          <w:lang w:eastAsia="en-US"/>
        </w:rPr>
        <w:t>•</w:t>
      </w:r>
      <w:r>
        <w:rPr>
          <w:lang w:eastAsia="en-US"/>
        </w:rPr>
        <w:tab/>
        <w:t>всех подписанных Сторонами актов предварительных приёмо-сдаточных работ и актов о приёмке выполненных работ по форме КС-2 и приложений к ним, формы М-29, вклю</w:t>
      </w:r>
      <w:r>
        <w:rPr>
          <w:lang w:eastAsia="en-US"/>
        </w:rPr>
        <w:lastRenderedPageBreak/>
        <w:t>чающим подтверждение выполнения объёмов Работ представителем Заказчика-застройщика (техническим надзором), находящимся на Площадке, завизированный материально-ответственным лицом, ответственным за данную Площадку;</w:t>
      </w:r>
    </w:p>
    <w:p w:rsidR="007867A5" w:rsidRDefault="007867A5" w:rsidP="007867A5">
      <w:pPr>
        <w:rPr>
          <w:lang w:eastAsia="en-US"/>
        </w:rPr>
      </w:pPr>
      <w:r>
        <w:rPr>
          <w:lang w:eastAsia="en-US"/>
        </w:rPr>
        <w:t>•</w:t>
      </w:r>
      <w:r>
        <w:rPr>
          <w:lang w:eastAsia="en-US"/>
        </w:rPr>
        <w:tab/>
        <w:t>всех подписанных Сторонами справок о стоимости выполненных работ и затрат по форме КС-3;</w:t>
      </w:r>
    </w:p>
    <w:p w:rsidR="007867A5" w:rsidRDefault="007867A5" w:rsidP="007867A5">
      <w:pPr>
        <w:rPr>
          <w:lang w:eastAsia="en-US"/>
        </w:rPr>
      </w:pPr>
      <w:r>
        <w:rPr>
          <w:lang w:eastAsia="en-US"/>
        </w:rPr>
        <w:t>•</w:t>
      </w:r>
      <w:r>
        <w:rPr>
          <w:lang w:eastAsia="en-US"/>
        </w:rPr>
        <w:tab/>
        <w:t>устранения выявленных недостатков работ;</w:t>
      </w:r>
    </w:p>
    <w:p w:rsidR="007867A5" w:rsidRDefault="007867A5" w:rsidP="007867A5">
      <w:pPr>
        <w:rPr>
          <w:lang w:eastAsia="en-US"/>
        </w:rPr>
      </w:pPr>
      <w:r>
        <w:rPr>
          <w:lang w:eastAsia="en-US"/>
        </w:rPr>
        <w:t>•</w:t>
      </w:r>
      <w:r>
        <w:rPr>
          <w:lang w:eastAsia="en-US"/>
        </w:rPr>
        <w:tab/>
        <w:t>подписания Акта приёмки Проектной документации по Заказу (Этапу строительства);</w:t>
      </w:r>
    </w:p>
    <w:p w:rsidR="007867A5" w:rsidRDefault="007867A5" w:rsidP="007867A5">
      <w:pPr>
        <w:rPr>
          <w:lang w:eastAsia="en-US"/>
        </w:rPr>
      </w:pPr>
      <w:r>
        <w:rPr>
          <w:lang w:eastAsia="en-US"/>
        </w:rPr>
        <w:t>•</w:t>
      </w:r>
      <w:r>
        <w:rPr>
          <w:lang w:eastAsia="en-US"/>
        </w:rPr>
        <w:tab/>
        <w:t>подписания Акта приёмки услуг;</w:t>
      </w:r>
    </w:p>
    <w:p w:rsidR="007867A5" w:rsidRDefault="007867A5" w:rsidP="007867A5">
      <w:pPr>
        <w:rPr>
          <w:lang w:eastAsia="en-US"/>
        </w:rPr>
      </w:pPr>
      <w:r>
        <w:rPr>
          <w:lang w:eastAsia="en-US"/>
        </w:rPr>
        <w:t>•</w:t>
      </w:r>
      <w:r>
        <w:rPr>
          <w:lang w:eastAsia="en-US"/>
        </w:rPr>
        <w:tab/>
        <w:t>полученного Заказчиком-застройщиком счёта на оплату от Подрядчика;</w:t>
      </w:r>
    </w:p>
    <w:p w:rsidR="007867A5" w:rsidRDefault="007867A5" w:rsidP="007867A5">
      <w:pPr>
        <w:rPr>
          <w:lang w:eastAsia="en-US"/>
        </w:rPr>
      </w:pPr>
      <w:r>
        <w:rPr>
          <w:lang w:eastAsia="en-US"/>
        </w:rPr>
        <w:t>•</w:t>
      </w:r>
      <w:r>
        <w:rPr>
          <w:lang w:eastAsia="en-US"/>
        </w:rPr>
        <w:tab/>
        <w:t>полученного Заказчиком-застройщиком счета-фактуры Подрядчика.</w:t>
      </w:r>
    </w:p>
    <w:p w:rsidR="007867A5" w:rsidRDefault="007867A5" w:rsidP="007867A5">
      <w:pPr>
        <w:rPr>
          <w:lang w:eastAsia="en-US"/>
        </w:rPr>
      </w:pPr>
      <w:r>
        <w:rPr>
          <w:lang w:eastAsia="en-US"/>
        </w:rPr>
        <w:t xml:space="preserve">      </w:t>
      </w:r>
      <w:r>
        <w:rPr>
          <w:lang w:eastAsia="en-US"/>
        </w:rPr>
        <w:t>Окончательный расчёт за выполненные Работы по Заказу Заказчик-застройщик оплачивает 10% (десять процентов) цены Заказа, в том числе НДС 18 %, в течение 60 календарных дней на основании:</w:t>
      </w:r>
    </w:p>
    <w:p w:rsidR="007867A5" w:rsidRDefault="007867A5" w:rsidP="007867A5">
      <w:pPr>
        <w:rPr>
          <w:lang w:eastAsia="en-US"/>
        </w:rPr>
      </w:pPr>
      <w:r>
        <w:rPr>
          <w:lang w:eastAsia="en-US"/>
        </w:rPr>
        <w:t>•</w:t>
      </w:r>
      <w:r>
        <w:rPr>
          <w:lang w:eastAsia="en-US"/>
        </w:rPr>
        <w:tab/>
        <w:t>переданного Подрядчиком Заказчику-застройщику полного исправленного комплекта исполнительной документации на выполненные СМР;</w:t>
      </w:r>
    </w:p>
    <w:p w:rsidR="007867A5" w:rsidRDefault="007867A5" w:rsidP="007867A5">
      <w:pPr>
        <w:rPr>
          <w:lang w:eastAsia="en-US"/>
        </w:rPr>
      </w:pPr>
      <w:r>
        <w:rPr>
          <w:lang w:eastAsia="en-US"/>
        </w:rPr>
        <w:t>•</w:t>
      </w:r>
      <w:r>
        <w:rPr>
          <w:lang w:eastAsia="en-US"/>
        </w:rPr>
        <w:tab/>
        <w:t>подписанного и утвержденного Акта КС-14 по Заказу (Этапу строительства);</w:t>
      </w:r>
    </w:p>
    <w:p w:rsidR="007867A5" w:rsidRDefault="007867A5" w:rsidP="007867A5">
      <w:pPr>
        <w:rPr>
          <w:lang w:eastAsia="en-US"/>
        </w:rPr>
      </w:pPr>
      <w:r>
        <w:rPr>
          <w:lang w:eastAsia="en-US"/>
        </w:rPr>
        <w:t>•</w:t>
      </w:r>
      <w:r>
        <w:rPr>
          <w:lang w:eastAsia="en-US"/>
        </w:rPr>
        <w:tab/>
        <w:t>полученного Заказчиком-застройщиком счёта на оплату от Подрядчика;</w:t>
      </w:r>
    </w:p>
    <w:p w:rsidR="00250FE9" w:rsidRPr="0029432A" w:rsidRDefault="007867A5" w:rsidP="007867A5">
      <w:r>
        <w:rPr>
          <w:lang w:eastAsia="en-US"/>
        </w:rPr>
        <w:t>•</w:t>
      </w:r>
      <w:r>
        <w:rPr>
          <w:lang w:eastAsia="en-US"/>
        </w:rPr>
        <w:tab/>
        <w:t>полученного Заказчиком-застройщиком счета-фактуры Подрядчика</w:t>
      </w:r>
      <w:r>
        <w:rPr>
          <w:lang w:eastAsia="en-US"/>
        </w:rPr>
        <w:t xml:space="preserve"> </w:t>
      </w:r>
      <w:bookmarkStart w:id="3" w:name="_GoBack"/>
      <w:bookmarkEnd w:id="3"/>
      <w:r w:rsidR="00250FE9" w:rsidRPr="0029432A">
        <w:t xml:space="preserve">- </w:t>
      </w:r>
      <w:r w:rsidR="00250FE9" w:rsidRPr="0029432A">
        <w:rPr>
          <w:b/>
        </w:rPr>
        <w:t>0 баллов</w:t>
      </w:r>
      <w:r w:rsidR="00250FE9" w:rsidRPr="0029432A">
        <w:t>.</w:t>
      </w:r>
    </w:p>
    <w:p w:rsidR="00250FE9" w:rsidRDefault="00250FE9" w:rsidP="00250FE9">
      <w:pPr>
        <w:ind w:firstLine="567"/>
        <w:jc w:val="both"/>
      </w:pPr>
    </w:p>
    <w:p w:rsidR="00250FE9" w:rsidRDefault="00250FE9" w:rsidP="00250FE9">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250FE9" w:rsidRDefault="00250FE9" w:rsidP="00250FE9">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250FE9" w:rsidRDefault="00250FE9" w:rsidP="00250FE9">
      <w:pPr>
        <w:ind w:firstLine="567"/>
        <w:jc w:val="both"/>
      </w:pPr>
    </w:p>
    <w:p w:rsidR="00250FE9" w:rsidRDefault="00250FE9" w:rsidP="00250FE9">
      <w:pPr>
        <w:ind w:firstLine="567"/>
        <w:jc w:val="both"/>
        <w:rPr>
          <w:color w:val="000000"/>
        </w:rPr>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r>
        <w:rPr>
          <w:color w:val="000000"/>
        </w:rPr>
        <w:t>.</w:t>
      </w:r>
    </w:p>
    <w:p w:rsidR="00250FE9" w:rsidRPr="0023130A" w:rsidRDefault="00250FE9" w:rsidP="00250FE9">
      <w:pPr>
        <w:ind w:firstLine="567"/>
        <w:jc w:val="both"/>
      </w:pPr>
    </w:p>
    <w:p w:rsidR="00250FE9" w:rsidRDefault="00250FE9" w:rsidP="00250FE9">
      <w:pPr>
        <w:ind w:firstLine="567"/>
        <w:jc w:val="both"/>
      </w:pPr>
    </w:p>
    <w:p w:rsidR="00684FB0" w:rsidRPr="00684FB0" w:rsidRDefault="00684FB0" w:rsidP="00684FB0">
      <w:pPr>
        <w:ind w:firstLine="567"/>
        <w:jc w:val="both"/>
      </w:pPr>
    </w:p>
    <w:p w:rsidR="0057185A" w:rsidRDefault="0057185A" w:rsidP="00684FB0">
      <w:pPr>
        <w:ind w:right="57"/>
        <w:jc w:val="center"/>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0B3" w:rsidRDefault="008D50B3">
      <w:r>
        <w:separator/>
      </w:r>
    </w:p>
  </w:endnote>
  <w:endnote w:type="continuationSeparator" w:id="0">
    <w:p w:rsidR="008D50B3" w:rsidRDefault="008D5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0B3" w:rsidRDefault="008D50B3">
      <w:r>
        <w:separator/>
      </w:r>
    </w:p>
  </w:footnote>
  <w:footnote w:type="continuationSeparator" w:id="0">
    <w:p w:rsidR="008D50B3" w:rsidRDefault="008D50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04229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3F4D7B">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1211" w:hanging="360"/>
      </w:pPr>
      <w:rPr>
        <w:b w:val="0"/>
        <w:color w:val="auto"/>
        <w:sz w:val="24"/>
        <w:szCs w:val="24"/>
      </w:rPr>
    </w:lvl>
    <w:lvl w:ilvl="1">
      <w:start w:val="1"/>
      <w:numFmt w:val="decimal"/>
      <w:lvlText w:val="%1.%2."/>
      <w:lvlJc w:val="left"/>
      <w:pPr>
        <w:ind w:left="999" w:hanging="432"/>
      </w:pPr>
      <w:rPr>
        <w:b w:val="0"/>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2294"/>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6D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3E9"/>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174C9"/>
    <w:rsid w:val="0022285B"/>
    <w:rsid w:val="002245A7"/>
    <w:rsid w:val="002253ED"/>
    <w:rsid w:val="00225E4C"/>
    <w:rsid w:val="002269F6"/>
    <w:rsid w:val="00226C0C"/>
    <w:rsid w:val="00233938"/>
    <w:rsid w:val="002339A3"/>
    <w:rsid w:val="0023516D"/>
    <w:rsid w:val="00235C51"/>
    <w:rsid w:val="00241542"/>
    <w:rsid w:val="002417F0"/>
    <w:rsid w:val="0024188A"/>
    <w:rsid w:val="0024241F"/>
    <w:rsid w:val="0024305C"/>
    <w:rsid w:val="002500EB"/>
    <w:rsid w:val="002504AF"/>
    <w:rsid w:val="00250FE9"/>
    <w:rsid w:val="00262EE7"/>
    <w:rsid w:val="002632E7"/>
    <w:rsid w:val="0026700B"/>
    <w:rsid w:val="00267075"/>
    <w:rsid w:val="00267A68"/>
    <w:rsid w:val="00272186"/>
    <w:rsid w:val="00273A8F"/>
    <w:rsid w:val="00274C52"/>
    <w:rsid w:val="00274E25"/>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4D7B"/>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36992"/>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69E8"/>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250"/>
    <w:rsid w:val="005A28AC"/>
    <w:rsid w:val="005A3EEA"/>
    <w:rsid w:val="005A6020"/>
    <w:rsid w:val="005A761B"/>
    <w:rsid w:val="005C5965"/>
    <w:rsid w:val="005C623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44E6"/>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84FB0"/>
    <w:rsid w:val="00697310"/>
    <w:rsid w:val="006979DF"/>
    <w:rsid w:val="006A0385"/>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C6765"/>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2B2D"/>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867A5"/>
    <w:rsid w:val="00790C66"/>
    <w:rsid w:val="007911C4"/>
    <w:rsid w:val="00794F6B"/>
    <w:rsid w:val="007956A5"/>
    <w:rsid w:val="007956B8"/>
    <w:rsid w:val="00796F14"/>
    <w:rsid w:val="007974A4"/>
    <w:rsid w:val="007A1994"/>
    <w:rsid w:val="007A5FCC"/>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143"/>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50B3"/>
    <w:rsid w:val="008E0476"/>
    <w:rsid w:val="008E46AF"/>
    <w:rsid w:val="008F2A05"/>
    <w:rsid w:val="00904D3C"/>
    <w:rsid w:val="00907361"/>
    <w:rsid w:val="00907784"/>
    <w:rsid w:val="00911B0D"/>
    <w:rsid w:val="009138B5"/>
    <w:rsid w:val="00915B38"/>
    <w:rsid w:val="0091649A"/>
    <w:rsid w:val="00925EB4"/>
    <w:rsid w:val="00926360"/>
    <w:rsid w:val="0092698A"/>
    <w:rsid w:val="00930540"/>
    <w:rsid w:val="00932F5B"/>
    <w:rsid w:val="00933B1E"/>
    <w:rsid w:val="00934A90"/>
    <w:rsid w:val="00941AB8"/>
    <w:rsid w:val="00944904"/>
    <w:rsid w:val="00945CDE"/>
    <w:rsid w:val="009461B1"/>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5C07"/>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67"/>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5A76"/>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36F"/>
    <w:rsid w:val="00CE097B"/>
    <w:rsid w:val="00CE168F"/>
    <w:rsid w:val="00CE40DF"/>
    <w:rsid w:val="00CE78E3"/>
    <w:rsid w:val="00CF0482"/>
    <w:rsid w:val="00CF1689"/>
    <w:rsid w:val="00CF4A79"/>
    <w:rsid w:val="00CF622B"/>
    <w:rsid w:val="00CF6E48"/>
    <w:rsid w:val="00CF75E3"/>
    <w:rsid w:val="00D011D3"/>
    <w:rsid w:val="00D03492"/>
    <w:rsid w:val="00D03AF4"/>
    <w:rsid w:val="00D0558E"/>
    <w:rsid w:val="00D07AFF"/>
    <w:rsid w:val="00D1013C"/>
    <w:rsid w:val="00D132F8"/>
    <w:rsid w:val="00D13335"/>
    <w:rsid w:val="00D142C3"/>
    <w:rsid w:val="00D1587C"/>
    <w:rsid w:val="00D15AFC"/>
    <w:rsid w:val="00D1764F"/>
    <w:rsid w:val="00D2214C"/>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59AA"/>
    <w:rsid w:val="00D87354"/>
    <w:rsid w:val="00D87A1E"/>
    <w:rsid w:val="00D87BD5"/>
    <w:rsid w:val="00D93885"/>
    <w:rsid w:val="00D93EF9"/>
    <w:rsid w:val="00D95CEF"/>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C7581"/>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55558EA-1D9F-44C0-8303-4DB37A91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paragraph" w:customStyle="1" w:styleId="afffff3">
    <w:name w:val="Пункт б/н"/>
    <w:basedOn w:val="a3"/>
    <w:rsid w:val="00A05C07"/>
    <w:pPr>
      <w:tabs>
        <w:tab w:val="left" w:pos="1134"/>
      </w:tabs>
      <w:snapToGrid w:val="0"/>
      <w:spacing w:line="360" w:lineRule="auto"/>
      <w:ind w:firstLine="567"/>
      <w:jc w:val="both"/>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E92846-4FC1-416C-A32D-BEAB6CC748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1008</Words>
  <Characters>5749</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6744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12</cp:revision>
  <cp:lastPrinted>2015-09-04T09:34:00Z</cp:lastPrinted>
  <dcterms:created xsi:type="dcterms:W3CDTF">2015-06-18T11:13:00Z</dcterms:created>
  <dcterms:modified xsi:type="dcterms:W3CDTF">2016-08-05T06:22:00Z</dcterms:modified>
</cp:coreProperties>
</file>